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906F4" w14:textId="77777777" w:rsidR="006D21A8" w:rsidRDefault="006D21A8" w:rsidP="00695E9A">
      <w:pPr>
        <w:pStyle w:val="SOPLevel1"/>
      </w:pPr>
      <w:r>
        <w:t>PURPOSE</w:t>
      </w:r>
    </w:p>
    <w:p w14:paraId="526C988E" w14:textId="63BF9C35" w:rsidR="0092507F" w:rsidRPr="00A27BE7" w:rsidRDefault="0092507F" w:rsidP="0092507F">
      <w:pPr>
        <w:pStyle w:val="SOPLevel2"/>
        <w:rPr>
          <w:sz w:val="22"/>
          <w:szCs w:val="22"/>
        </w:rPr>
      </w:pPr>
      <w:r w:rsidRPr="00A27BE7">
        <w:rPr>
          <w:sz w:val="22"/>
          <w:szCs w:val="22"/>
        </w:rPr>
        <w:t xml:space="preserve">This policy describes </w:t>
      </w:r>
      <w:r w:rsidR="004832A5">
        <w:rPr>
          <w:sz w:val="22"/>
          <w:szCs w:val="22"/>
        </w:rPr>
        <w:t xml:space="preserve">legal counsel’s </w:t>
      </w:r>
      <w:r w:rsidRPr="00A27BE7">
        <w:rPr>
          <w:sz w:val="22"/>
          <w:szCs w:val="22"/>
        </w:rPr>
        <w:t xml:space="preserve">determination of which individuals </w:t>
      </w:r>
      <w:r w:rsidR="004832A5">
        <w:rPr>
          <w:sz w:val="22"/>
          <w:szCs w:val="22"/>
        </w:rPr>
        <w:t xml:space="preserve">meet the following DHHS and FDA definitions when the research is conducted in the District of Columbia </w:t>
      </w:r>
      <w:r w:rsidRPr="00A27BE7">
        <w:rPr>
          <w:sz w:val="22"/>
          <w:szCs w:val="22"/>
        </w:rPr>
        <w:t>:</w:t>
      </w:r>
    </w:p>
    <w:p w14:paraId="2B25583A" w14:textId="1C7126A7" w:rsidR="0092507F" w:rsidRPr="00A27BE7" w:rsidRDefault="0092507F" w:rsidP="0092507F">
      <w:pPr>
        <w:pStyle w:val="SOPLevel3"/>
        <w:rPr>
          <w:sz w:val="22"/>
          <w:szCs w:val="22"/>
        </w:rPr>
      </w:pPr>
      <w:r w:rsidRPr="00A27BE7">
        <w:rPr>
          <w:sz w:val="22"/>
          <w:szCs w:val="22"/>
        </w:rPr>
        <w:t>&lt;Le</w:t>
      </w:r>
      <w:r w:rsidR="004832A5">
        <w:rPr>
          <w:sz w:val="22"/>
          <w:szCs w:val="22"/>
        </w:rPr>
        <w:t>gally Authorized Representative</w:t>
      </w:r>
      <w:r w:rsidR="004E3793">
        <w:rPr>
          <w:sz w:val="22"/>
          <w:szCs w:val="22"/>
        </w:rPr>
        <w:t>&gt; (LAR</w:t>
      </w:r>
      <w:r w:rsidRPr="00A27BE7">
        <w:rPr>
          <w:sz w:val="22"/>
          <w:szCs w:val="22"/>
        </w:rPr>
        <w:t>)</w:t>
      </w:r>
    </w:p>
    <w:p w14:paraId="52B67E57" w14:textId="77777777" w:rsidR="0092507F" w:rsidRPr="00A27BE7" w:rsidRDefault="0092507F" w:rsidP="0092507F">
      <w:pPr>
        <w:pStyle w:val="SOPLevel3"/>
        <w:rPr>
          <w:sz w:val="22"/>
          <w:szCs w:val="22"/>
        </w:rPr>
      </w:pPr>
      <w:r w:rsidRPr="00A27BE7">
        <w:rPr>
          <w:sz w:val="22"/>
          <w:szCs w:val="22"/>
        </w:rPr>
        <w:t>&lt;Children&gt;</w:t>
      </w:r>
    </w:p>
    <w:p w14:paraId="3E199E35" w14:textId="1379C49F" w:rsidR="0092507F" w:rsidRPr="00A27BE7" w:rsidRDefault="004832A5" w:rsidP="0092507F">
      <w:pPr>
        <w:pStyle w:val="SOPLevel3"/>
        <w:rPr>
          <w:sz w:val="22"/>
          <w:szCs w:val="22"/>
        </w:rPr>
      </w:pPr>
      <w:r>
        <w:rPr>
          <w:sz w:val="22"/>
          <w:szCs w:val="22"/>
        </w:rPr>
        <w:t>&lt;Guardian</w:t>
      </w:r>
      <w:r w:rsidR="0092507F" w:rsidRPr="00A27BE7">
        <w:rPr>
          <w:sz w:val="22"/>
          <w:szCs w:val="22"/>
        </w:rPr>
        <w:t>&gt;</w:t>
      </w:r>
    </w:p>
    <w:p w14:paraId="77D71F7B" w14:textId="77777777" w:rsidR="006D21A8" w:rsidRDefault="006D21A8" w:rsidP="00695E9A">
      <w:pPr>
        <w:pStyle w:val="SOPLevel1"/>
      </w:pPr>
      <w:r>
        <w:t>POLICY</w:t>
      </w:r>
    </w:p>
    <w:p w14:paraId="2A7E48BD" w14:textId="1FEFD631" w:rsidR="004832A5" w:rsidRPr="004E3793" w:rsidRDefault="004832A5" w:rsidP="004E3793">
      <w:pPr>
        <w:pStyle w:val="SOPLevel2"/>
        <w:rPr>
          <w:sz w:val="22"/>
          <w:szCs w:val="22"/>
        </w:rPr>
      </w:pPr>
      <w:r w:rsidRPr="004E3793">
        <w:rPr>
          <w:sz w:val="22"/>
          <w:szCs w:val="22"/>
        </w:rPr>
        <w:t xml:space="preserve">Unless the IRB has waived the requirement to obtain consent, when research involves adults unable to consent, permission must be obtained from a legally authorized representative. </w:t>
      </w:r>
    </w:p>
    <w:p w14:paraId="12DFB5C9" w14:textId="5EF486B6" w:rsidR="00655A70" w:rsidRPr="004E3793" w:rsidRDefault="0092507F" w:rsidP="004E3793">
      <w:pPr>
        <w:pStyle w:val="SOPLevel3"/>
        <w:rPr>
          <w:sz w:val="22"/>
          <w:szCs w:val="22"/>
        </w:rPr>
      </w:pPr>
      <w:r w:rsidRPr="004E3793">
        <w:rPr>
          <w:sz w:val="22"/>
          <w:szCs w:val="22"/>
        </w:rPr>
        <w:t xml:space="preserve">When research is conducted in </w:t>
      </w:r>
      <w:r w:rsidRPr="004E3793">
        <w:rPr>
          <w:sz w:val="22"/>
          <w:szCs w:val="22"/>
        </w:rPr>
        <w:softHyphen/>
      </w:r>
      <w:r w:rsidRPr="004E3793">
        <w:rPr>
          <w:sz w:val="22"/>
          <w:szCs w:val="22"/>
        </w:rPr>
        <w:softHyphen/>
      </w:r>
      <w:r w:rsidRPr="004E3793">
        <w:rPr>
          <w:sz w:val="22"/>
          <w:szCs w:val="22"/>
        </w:rPr>
        <w:softHyphen/>
      </w:r>
      <w:r w:rsidRPr="004E3793">
        <w:rPr>
          <w:sz w:val="22"/>
          <w:szCs w:val="22"/>
        </w:rPr>
        <w:softHyphen/>
      </w:r>
      <w:r w:rsidRPr="004E3793">
        <w:rPr>
          <w:sz w:val="22"/>
          <w:szCs w:val="22"/>
        </w:rPr>
        <w:softHyphen/>
      </w:r>
      <w:r w:rsidRPr="004E3793">
        <w:rPr>
          <w:sz w:val="22"/>
          <w:szCs w:val="22"/>
        </w:rPr>
        <w:softHyphen/>
      </w:r>
      <w:r w:rsidRPr="004E3793">
        <w:rPr>
          <w:sz w:val="22"/>
          <w:szCs w:val="22"/>
        </w:rPr>
        <w:softHyphen/>
      </w:r>
      <w:r w:rsidR="00031750" w:rsidRPr="004E3793">
        <w:rPr>
          <w:sz w:val="22"/>
          <w:szCs w:val="22"/>
        </w:rPr>
        <w:t>the District of Columbia,</w:t>
      </w:r>
      <w:r w:rsidRPr="004E3793">
        <w:rPr>
          <w:sz w:val="22"/>
          <w:szCs w:val="22"/>
        </w:rPr>
        <w:t xml:space="preserve"> the following individuals</w:t>
      </w:r>
      <w:r w:rsidR="007527B4" w:rsidRPr="004E3793">
        <w:rPr>
          <w:sz w:val="22"/>
          <w:szCs w:val="22"/>
        </w:rPr>
        <w:t xml:space="preserve"> may serve as a </w:t>
      </w:r>
      <w:r w:rsidRPr="004E3793">
        <w:rPr>
          <w:sz w:val="22"/>
          <w:szCs w:val="22"/>
        </w:rPr>
        <w:t>&lt;Legally Authorized Representatives&gt;:</w:t>
      </w:r>
    </w:p>
    <w:p w14:paraId="2B4D9C7D" w14:textId="77777777" w:rsidR="00655A70" w:rsidRPr="004E3793" w:rsidRDefault="00655A70" w:rsidP="004E3793">
      <w:pPr>
        <w:pStyle w:val="SOPLevel4"/>
        <w:rPr>
          <w:sz w:val="22"/>
          <w:szCs w:val="22"/>
        </w:rPr>
      </w:pPr>
      <w:r w:rsidRPr="004E3793">
        <w:rPr>
          <w:sz w:val="22"/>
          <w:szCs w:val="22"/>
        </w:rPr>
        <w:t>An attorney in fact appointed through a durable power of attorney, unless prohibited from doing so, or</w:t>
      </w:r>
    </w:p>
    <w:p w14:paraId="5B79314A" w14:textId="65E0E85E" w:rsidR="00655A70" w:rsidRPr="004E3793" w:rsidRDefault="00655A70" w:rsidP="004E3793">
      <w:pPr>
        <w:pStyle w:val="SOPLevel4"/>
        <w:rPr>
          <w:sz w:val="22"/>
          <w:szCs w:val="22"/>
        </w:rPr>
      </w:pPr>
      <w:r w:rsidRPr="004E3793">
        <w:rPr>
          <w:sz w:val="22"/>
          <w:szCs w:val="22"/>
        </w:rPr>
        <w:t xml:space="preserve">A substitute health care decision maker.  The following individuals may become substitute health care decision makers to consent to </w:t>
      </w:r>
      <w:r w:rsidR="00D72294" w:rsidRPr="004E3793">
        <w:rPr>
          <w:sz w:val="22"/>
          <w:szCs w:val="22"/>
        </w:rPr>
        <w:t>research</w:t>
      </w:r>
      <w:r w:rsidRPr="004E3793">
        <w:rPr>
          <w:sz w:val="22"/>
          <w:szCs w:val="22"/>
        </w:rPr>
        <w:t xml:space="preserve"> (with an order of priority under the law):</w:t>
      </w:r>
    </w:p>
    <w:p w14:paraId="5364C178" w14:textId="77777777" w:rsidR="00655A70" w:rsidRPr="004E3793" w:rsidRDefault="00655A70" w:rsidP="004E3793">
      <w:pPr>
        <w:pStyle w:val="SOPLevel5"/>
        <w:rPr>
          <w:sz w:val="22"/>
          <w:szCs w:val="22"/>
        </w:rPr>
      </w:pPr>
      <w:r w:rsidRPr="004E3793">
        <w:rPr>
          <w:sz w:val="22"/>
          <w:szCs w:val="22"/>
        </w:rPr>
        <w:t> The patient’s court-appointed guardian, conservator, or intellectual disability advocate, if consent is within the scope of the court’s order;</w:t>
      </w:r>
    </w:p>
    <w:p w14:paraId="5B5EED69" w14:textId="77777777" w:rsidR="00655A70" w:rsidRPr="004E3793" w:rsidRDefault="00655A70" w:rsidP="004E3793">
      <w:pPr>
        <w:pStyle w:val="SOPLevel5"/>
        <w:rPr>
          <w:sz w:val="22"/>
          <w:szCs w:val="22"/>
        </w:rPr>
      </w:pPr>
      <w:r w:rsidRPr="004E3793">
        <w:rPr>
          <w:sz w:val="22"/>
          <w:szCs w:val="22"/>
        </w:rPr>
        <w:t>The patient’s spouse or domestic partner;</w:t>
      </w:r>
    </w:p>
    <w:p w14:paraId="63C6C6A9" w14:textId="77777777" w:rsidR="00655A70" w:rsidRPr="004E3793" w:rsidRDefault="00655A70" w:rsidP="004E3793">
      <w:pPr>
        <w:pStyle w:val="SOPLevel5"/>
        <w:rPr>
          <w:sz w:val="22"/>
          <w:szCs w:val="22"/>
        </w:rPr>
      </w:pPr>
      <w:r w:rsidRPr="004E3793">
        <w:rPr>
          <w:sz w:val="22"/>
          <w:szCs w:val="22"/>
        </w:rPr>
        <w:t>The patient’s parent;</w:t>
      </w:r>
    </w:p>
    <w:p w14:paraId="31FA6709" w14:textId="7F7B05D4" w:rsidR="00031750" w:rsidRPr="004E3793" w:rsidRDefault="00655A70" w:rsidP="004E3793">
      <w:pPr>
        <w:pStyle w:val="SOPLevel5"/>
        <w:rPr>
          <w:sz w:val="22"/>
          <w:szCs w:val="22"/>
        </w:rPr>
      </w:pPr>
      <w:r w:rsidRPr="004E3793">
        <w:rPr>
          <w:sz w:val="22"/>
          <w:szCs w:val="22"/>
        </w:rPr>
        <w:t>The patient’s adult sibling</w:t>
      </w:r>
      <w:r w:rsidR="00C2492E" w:rsidRPr="004E3793">
        <w:rPr>
          <w:sz w:val="22"/>
          <w:szCs w:val="22"/>
        </w:rPr>
        <w:t>.</w:t>
      </w:r>
    </w:p>
    <w:p w14:paraId="2F940BB5" w14:textId="07088891" w:rsidR="0092507F" w:rsidRPr="004E3793" w:rsidRDefault="0092507F" w:rsidP="004E3793">
      <w:pPr>
        <w:pStyle w:val="SOPLevel3"/>
        <w:rPr>
          <w:sz w:val="22"/>
          <w:szCs w:val="22"/>
        </w:rPr>
      </w:pPr>
      <w:r w:rsidRPr="004E3793">
        <w:rPr>
          <w:sz w:val="22"/>
          <w:szCs w:val="22"/>
        </w:rPr>
        <w:t xml:space="preserve">For research outside </w:t>
      </w:r>
      <w:r w:rsidR="00031750" w:rsidRPr="004E3793">
        <w:rPr>
          <w:sz w:val="22"/>
          <w:szCs w:val="22"/>
        </w:rPr>
        <w:t>the District of Columbia</w:t>
      </w:r>
      <w:r w:rsidR="00024D53" w:rsidRPr="004E3793">
        <w:rPr>
          <w:sz w:val="22"/>
          <w:szCs w:val="22"/>
        </w:rPr>
        <w:t>,</w:t>
      </w:r>
      <w:r w:rsidR="004832A5" w:rsidRPr="004E3793">
        <w:rPr>
          <w:sz w:val="22"/>
          <w:szCs w:val="22"/>
        </w:rPr>
        <w:t xml:space="preserve"> a determination of who meets the DHHS and FDA definitions of &lt;legally authorized representative&gt; is to be made with consultation from legal counsel.  This consultation will be facilitated by the IRB staff.</w:t>
      </w:r>
    </w:p>
    <w:p w14:paraId="2AE0074F" w14:textId="39E0E30A" w:rsidR="004832A5" w:rsidRPr="004E3793" w:rsidRDefault="004832A5" w:rsidP="004832A5">
      <w:pPr>
        <w:pStyle w:val="SOPLevel2"/>
        <w:rPr>
          <w:sz w:val="22"/>
          <w:szCs w:val="22"/>
        </w:rPr>
      </w:pPr>
      <w:r w:rsidRPr="004E3793">
        <w:rPr>
          <w:sz w:val="22"/>
          <w:szCs w:val="22"/>
        </w:rPr>
        <w:t>Under DHHS and FDA regulations</w:t>
      </w:r>
      <w:r w:rsidR="00C94AA8">
        <w:rPr>
          <w:sz w:val="22"/>
          <w:szCs w:val="22"/>
        </w:rPr>
        <w:t>,</w:t>
      </w:r>
      <w:r w:rsidRPr="004E3793">
        <w:rPr>
          <w:sz w:val="22"/>
          <w:szCs w:val="22"/>
        </w:rPr>
        <w:t xml:space="preserve"> “children” are persons who have not attained the legal age for consent to treatments or procedures involved in the research, under the applicable law of the jurisdiction in which the research will be conducted. Subpart D must be applied if and only if an individual involved in the research meet this definition. </w:t>
      </w:r>
    </w:p>
    <w:p w14:paraId="6D87FD6D" w14:textId="77777777" w:rsidR="004832A5" w:rsidRPr="004E3793" w:rsidRDefault="004832A5" w:rsidP="004832A5">
      <w:pPr>
        <w:pStyle w:val="SOPLevel2"/>
        <w:numPr>
          <w:ilvl w:val="0"/>
          <w:numId w:val="0"/>
        </w:numPr>
        <w:rPr>
          <w:sz w:val="22"/>
          <w:szCs w:val="22"/>
        </w:rPr>
      </w:pPr>
    </w:p>
    <w:p w14:paraId="5D91EB67" w14:textId="77777777" w:rsidR="0092507F" w:rsidRPr="004E3793" w:rsidRDefault="0092507F" w:rsidP="004E3793">
      <w:pPr>
        <w:pStyle w:val="SOPLevel3"/>
        <w:rPr>
          <w:sz w:val="22"/>
          <w:szCs w:val="22"/>
        </w:rPr>
      </w:pPr>
      <w:r w:rsidRPr="004E3793">
        <w:rPr>
          <w:sz w:val="22"/>
          <w:szCs w:val="22"/>
        </w:rPr>
        <w:t xml:space="preserve">When research is conducted in </w:t>
      </w:r>
      <w:r w:rsidRPr="004E3793">
        <w:rPr>
          <w:sz w:val="22"/>
          <w:szCs w:val="22"/>
        </w:rPr>
        <w:softHyphen/>
      </w:r>
      <w:r w:rsidRPr="004E3793">
        <w:rPr>
          <w:sz w:val="22"/>
          <w:szCs w:val="22"/>
        </w:rPr>
        <w:softHyphen/>
      </w:r>
      <w:r w:rsidRPr="004E3793">
        <w:rPr>
          <w:sz w:val="22"/>
          <w:szCs w:val="22"/>
        </w:rPr>
        <w:softHyphen/>
      </w:r>
      <w:r w:rsidRPr="004E3793">
        <w:rPr>
          <w:sz w:val="22"/>
          <w:szCs w:val="22"/>
        </w:rPr>
        <w:softHyphen/>
      </w:r>
      <w:r w:rsidRPr="004E3793">
        <w:rPr>
          <w:sz w:val="22"/>
          <w:szCs w:val="22"/>
        </w:rPr>
        <w:softHyphen/>
      </w:r>
      <w:r w:rsidRPr="004E3793">
        <w:rPr>
          <w:sz w:val="22"/>
          <w:szCs w:val="22"/>
        </w:rPr>
        <w:softHyphen/>
      </w:r>
      <w:r w:rsidRPr="004E3793">
        <w:rPr>
          <w:sz w:val="22"/>
          <w:szCs w:val="22"/>
        </w:rPr>
        <w:softHyphen/>
      </w:r>
      <w:r w:rsidR="00031750" w:rsidRPr="004E3793">
        <w:rPr>
          <w:sz w:val="22"/>
          <w:szCs w:val="22"/>
        </w:rPr>
        <w:t>the District of Columbia</w:t>
      </w:r>
      <w:r w:rsidR="00B63432" w:rsidRPr="004E3793">
        <w:rPr>
          <w:sz w:val="22"/>
          <w:szCs w:val="22"/>
        </w:rPr>
        <w:t xml:space="preserve"> and Virginia</w:t>
      </w:r>
      <w:r w:rsidR="00031750" w:rsidRPr="004E3793">
        <w:rPr>
          <w:sz w:val="22"/>
          <w:szCs w:val="22"/>
        </w:rPr>
        <w:t>,</w:t>
      </w:r>
      <w:r w:rsidRPr="004E3793">
        <w:rPr>
          <w:sz w:val="22"/>
          <w:szCs w:val="22"/>
        </w:rPr>
        <w:t xml:space="preserve"> individuals under the age of 18 years are &lt;Children&gt; with the exception of:</w:t>
      </w:r>
    </w:p>
    <w:p w14:paraId="750EB2E1" w14:textId="16DF7679" w:rsidR="008C420B" w:rsidRPr="004E3793" w:rsidRDefault="008C420B" w:rsidP="004E3793">
      <w:pPr>
        <w:pStyle w:val="SOPLevel4"/>
        <w:rPr>
          <w:noProof/>
          <w:sz w:val="22"/>
          <w:szCs w:val="22"/>
        </w:rPr>
      </w:pPr>
      <w:r w:rsidRPr="004E3793">
        <w:rPr>
          <w:noProof/>
          <w:sz w:val="22"/>
          <w:szCs w:val="22"/>
        </w:rPr>
        <w:t>Emancipated minors</w:t>
      </w:r>
      <w:r w:rsidR="009C4C20">
        <w:rPr>
          <w:noProof/>
          <w:sz w:val="22"/>
          <w:szCs w:val="22"/>
        </w:rPr>
        <w:t xml:space="preserve"> or minors residing apart from his or her parents and managing his or her own personal and financial affairs;</w:t>
      </w:r>
    </w:p>
    <w:p w14:paraId="4FF159D9" w14:textId="67723B17" w:rsidR="008C420B" w:rsidRPr="004E3793" w:rsidRDefault="008C420B" w:rsidP="004E3793">
      <w:pPr>
        <w:pStyle w:val="SOPLevel4"/>
        <w:rPr>
          <w:noProof/>
          <w:sz w:val="22"/>
          <w:szCs w:val="22"/>
        </w:rPr>
      </w:pPr>
      <w:r w:rsidRPr="004E3793">
        <w:rPr>
          <w:noProof/>
          <w:sz w:val="22"/>
          <w:szCs w:val="22"/>
        </w:rPr>
        <w:t>Individuals who have entered into a valid marriage, whether or not it has been terminated</w:t>
      </w:r>
      <w:r w:rsidR="00C94AA8">
        <w:rPr>
          <w:noProof/>
          <w:sz w:val="22"/>
          <w:szCs w:val="22"/>
        </w:rPr>
        <w:t>;</w:t>
      </w:r>
    </w:p>
    <w:p w14:paraId="7910BA43" w14:textId="2451DDAA" w:rsidR="008C420B" w:rsidRPr="004E3793" w:rsidRDefault="008C420B" w:rsidP="004E3793">
      <w:pPr>
        <w:pStyle w:val="SOPLevel4"/>
        <w:rPr>
          <w:noProof/>
          <w:sz w:val="22"/>
          <w:szCs w:val="22"/>
        </w:rPr>
      </w:pPr>
      <w:r w:rsidRPr="004E3793">
        <w:rPr>
          <w:noProof/>
          <w:sz w:val="22"/>
          <w:szCs w:val="22"/>
        </w:rPr>
        <w:lastRenderedPageBreak/>
        <w:t>Individuals on active duty with any of the United States armed forces</w:t>
      </w:r>
      <w:r w:rsidR="00C94AA8">
        <w:rPr>
          <w:noProof/>
          <w:sz w:val="22"/>
          <w:szCs w:val="22"/>
        </w:rPr>
        <w:t>.</w:t>
      </w:r>
    </w:p>
    <w:p w14:paraId="029411CD" w14:textId="7806C01C" w:rsidR="004E3793" w:rsidRPr="00152183" w:rsidRDefault="0092507F" w:rsidP="00152183">
      <w:pPr>
        <w:pStyle w:val="SOPLevel3"/>
        <w:rPr>
          <w:noProof/>
          <w:sz w:val="22"/>
          <w:szCs w:val="22"/>
        </w:rPr>
      </w:pPr>
      <w:r w:rsidRPr="004E3793">
        <w:rPr>
          <w:sz w:val="22"/>
          <w:szCs w:val="22"/>
        </w:rPr>
        <w:t xml:space="preserve">For research outside </w:t>
      </w:r>
      <w:r w:rsidR="00031750" w:rsidRPr="004E3793">
        <w:rPr>
          <w:sz w:val="22"/>
          <w:szCs w:val="22"/>
        </w:rPr>
        <w:t>the District of Columbia and Virginia</w:t>
      </w:r>
      <w:r w:rsidRPr="004E3793">
        <w:rPr>
          <w:sz w:val="22"/>
          <w:szCs w:val="22"/>
        </w:rPr>
        <w:t>, legal counsel determines which individuals are &lt;Children&gt;.</w:t>
      </w:r>
    </w:p>
    <w:p w14:paraId="7093805D" w14:textId="355C882C" w:rsidR="004E3793" w:rsidRPr="004E3793" w:rsidRDefault="004E3793" w:rsidP="004E3793">
      <w:pPr>
        <w:pStyle w:val="SOPLevel2"/>
        <w:rPr>
          <w:sz w:val="22"/>
          <w:szCs w:val="22"/>
        </w:rPr>
      </w:pPr>
      <w:r w:rsidRPr="004E3793">
        <w:rPr>
          <w:sz w:val="22"/>
          <w:szCs w:val="22"/>
        </w:rPr>
        <w:t xml:space="preserve">Unless the IRB has waived the requirement to obtain </w:t>
      </w:r>
      <w:r w:rsidR="00C94AA8">
        <w:rPr>
          <w:sz w:val="22"/>
          <w:szCs w:val="22"/>
        </w:rPr>
        <w:t>parental permission</w:t>
      </w:r>
      <w:r w:rsidRPr="004E3793">
        <w:rPr>
          <w:sz w:val="22"/>
          <w:szCs w:val="22"/>
        </w:rPr>
        <w:t xml:space="preserve">, when research involves children, </w:t>
      </w:r>
      <w:r w:rsidR="00C94AA8">
        <w:rPr>
          <w:sz w:val="22"/>
          <w:szCs w:val="22"/>
        </w:rPr>
        <w:t>parental permission</w:t>
      </w:r>
      <w:r w:rsidRPr="004E3793">
        <w:rPr>
          <w:sz w:val="22"/>
          <w:szCs w:val="22"/>
        </w:rPr>
        <w:t xml:space="preserve"> may only be obtained from biologic or adoptive parents or a &lt;Guardian&gt; who is legally authorized to consent on behalf of the child to general medical care. Before obtaining permission from an individual who is not a parent, contact legal counsel. </w:t>
      </w:r>
    </w:p>
    <w:p w14:paraId="3E980E60" w14:textId="77777777" w:rsidR="006D21A8" w:rsidRDefault="006D21A8" w:rsidP="00695E9A">
      <w:pPr>
        <w:pStyle w:val="SOPLevel1"/>
      </w:pPr>
      <w:r>
        <w:t>REFERENCES</w:t>
      </w:r>
    </w:p>
    <w:p w14:paraId="6A6C3B69" w14:textId="77777777" w:rsidR="00C50D75" w:rsidRDefault="00695870" w:rsidP="00695E9A">
      <w:pPr>
        <w:pStyle w:val="SOPLevel2"/>
        <w:rPr>
          <w:sz w:val="22"/>
          <w:szCs w:val="22"/>
        </w:rPr>
      </w:pPr>
      <w:r w:rsidRPr="00A27BE7">
        <w:rPr>
          <w:sz w:val="22"/>
          <w:szCs w:val="22"/>
        </w:rPr>
        <w:t>None</w:t>
      </w:r>
    </w:p>
    <w:p w14:paraId="2F3EC290" w14:textId="77777777" w:rsidR="009C27CF" w:rsidRDefault="009C27CF" w:rsidP="009C27CF">
      <w:pPr>
        <w:pStyle w:val="SOPLevel1"/>
        <w:numPr>
          <w:ilvl w:val="0"/>
          <w:numId w:val="0"/>
        </w:numPr>
        <w:ind w:left="576" w:hanging="576"/>
      </w:pPr>
    </w:p>
    <w:p w14:paraId="6D545881" w14:textId="77777777" w:rsidR="009C27CF" w:rsidRDefault="009C27CF" w:rsidP="009C27CF">
      <w:pPr>
        <w:pStyle w:val="SOPLevel1"/>
        <w:numPr>
          <w:ilvl w:val="0"/>
          <w:numId w:val="0"/>
        </w:numPr>
        <w:ind w:left="576" w:hanging="576"/>
      </w:pPr>
    </w:p>
    <w:p w14:paraId="57D450F6" w14:textId="77777777" w:rsidR="009C27CF" w:rsidRPr="00A27BE7" w:rsidRDefault="009C27CF" w:rsidP="009C27CF">
      <w:pPr>
        <w:pStyle w:val="SOPLevel1"/>
        <w:numPr>
          <w:ilvl w:val="0"/>
          <w:numId w:val="0"/>
        </w:numPr>
        <w:ind w:left="576" w:hanging="576"/>
      </w:pPr>
    </w:p>
    <w:sectPr w:rsidR="009C27CF" w:rsidRPr="00A27BE7" w:rsidSect="009C27CF">
      <w:headerReference w:type="even" r:id="rId12"/>
      <w:headerReference w:type="default" r:id="rId13"/>
      <w:footerReference w:type="even" r:id="rId14"/>
      <w:footerReference w:type="default" r:id="rId15"/>
      <w:headerReference w:type="first" r:id="rId16"/>
      <w:footerReference w:type="first" r:id="rId17"/>
      <w:pgSz w:w="12240" w:h="15840"/>
      <w:pgMar w:top="10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6F82E" w14:textId="77777777" w:rsidR="009C27CF" w:rsidRDefault="009C27CF" w:rsidP="0093159B">
      <w:r>
        <w:separator/>
      </w:r>
    </w:p>
  </w:endnote>
  <w:endnote w:type="continuationSeparator" w:id="0">
    <w:p w14:paraId="422D6321" w14:textId="77777777" w:rsidR="009C27CF" w:rsidRDefault="009C27CF" w:rsidP="0093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FF70" w14:textId="77777777" w:rsidR="006B7C9F" w:rsidRDefault="006B7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D0709" w14:textId="77777777" w:rsidR="009C27CF" w:rsidRPr="00A20620" w:rsidRDefault="009C27CF" w:rsidP="009C27CF">
    <w:pPr>
      <w:pStyle w:val="SOPFooter"/>
      <w:jc w:val="left"/>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p w14:paraId="06230DB5" w14:textId="226C01C7" w:rsidR="009C27CF" w:rsidRPr="009C27CF" w:rsidRDefault="009C27CF" w:rsidP="009C27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4016E" w14:textId="77777777" w:rsidR="006B7C9F" w:rsidRDefault="006B7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9A485" w14:textId="77777777" w:rsidR="009C27CF" w:rsidRDefault="009C27CF" w:rsidP="0093159B">
      <w:r>
        <w:separator/>
      </w:r>
    </w:p>
  </w:footnote>
  <w:footnote w:type="continuationSeparator" w:id="0">
    <w:p w14:paraId="7CCE5C54" w14:textId="77777777" w:rsidR="009C27CF" w:rsidRDefault="009C27CF" w:rsidP="0093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051C2" w14:textId="77777777" w:rsidR="006B7C9F" w:rsidRDefault="006B7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32" w:type="pct"/>
      <w:tblLayout w:type="fixed"/>
      <w:tblLook w:val="04A0" w:firstRow="1" w:lastRow="0" w:firstColumn="1" w:lastColumn="0" w:noHBand="0" w:noVBand="1"/>
    </w:tblPr>
    <w:tblGrid>
      <w:gridCol w:w="3485"/>
      <w:gridCol w:w="1523"/>
      <w:gridCol w:w="1850"/>
      <w:gridCol w:w="1440"/>
      <w:gridCol w:w="1531"/>
    </w:tblGrid>
    <w:tr w:rsidR="009C27CF" w14:paraId="41F447BB" w14:textId="77777777" w:rsidTr="009C27CF">
      <w:trPr>
        <w:cantSplit/>
        <w:trHeight w:hRule="exact" w:val="720"/>
      </w:trPr>
      <w:tc>
        <w:tcPr>
          <w:tcW w:w="3485" w:type="dxa"/>
          <w:vMerge w:val="restart"/>
          <w:tcBorders>
            <w:top w:val="nil"/>
            <w:left w:val="nil"/>
            <w:bottom w:val="nil"/>
          </w:tcBorders>
          <w:shd w:val="clear" w:color="auto" w:fill="auto"/>
          <w:vAlign w:val="center"/>
        </w:tcPr>
        <w:p w14:paraId="6A4567C3" w14:textId="18A093E2" w:rsidR="009C27CF" w:rsidRPr="0071055B" w:rsidRDefault="009C27CF" w:rsidP="00024D53">
          <w:pPr>
            <w:pStyle w:val="Image"/>
          </w:pPr>
          <w:r>
            <w:rPr>
              <w:rFonts w:ascii="Arial" w:hAnsi="Arial" w:cs="Arial"/>
              <w:b/>
              <w:bCs/>
              <w:noProof/>
            </w:rPr>
            <w:drawing>
              <wp:inline distT="0" distB="0" distL="0" distR="0" wp14:anchorId="635607C9" wp14:editId="76759D2E">
                <wp:extent cx="19113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iddol_ohr_2cs_pos.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344" w:type="dxa"/>
          <w:gridSpan w:val="4"/>
          <w:vAlign w:val="center"/>
        </w:tcPr>
        <w:p w14:paraId="03AA93C9" w14:textId="1F40A20F" w:rsidR="009C27CF" w:rsidRPr="009C4C20" w:rsidRDefault="009C27CF" w:rsidP="00024D53">
          <w:pPr>
            <w:pStyle w:val="SOPTitle"/>
            <w:rPr>
              <w:rFonts w:asciiTheme="majorHAnsi" w:hAnsiTheme="majorHAnsi"/>
            </w:rPr>
          </w:pPr>
          <w:r w:rsidRPr="009C4C20">
            <w:rPr>
              <w:rFonts w:asciiTheme="majorHAnsi" w:hAnsiTheme="majorHAnsi"/>
            </w:rPr>
            <w:fldChar w:fldCharType="begin"/>
          </w:r>
          <w:r w:rsidRPr="009C4C20">
            <w:rPr>
              <w:rFonts w:asciiTheme="majorHAnsi" w:hAnsiTheme="majorHAnsi"/>
            </w:rPr>
            <w:instrText xml:space="preserve"> TITLE   \* MERGEFORMAT </w:instrText>
          </w:r>
          <w:r w:rsidRPr="009C4C20">
            <w:rPr>
              <w:rFonts w:asciiTheme="majorHAnsi" w:hAnsiTheme="majorHAnsi"/>
            </w:rPr>
            <w:fldChar w:fldCharType="separate"/>
          </w:r>
          <w:r w:rsidRPr="009C4C20">
            <w:rPr>
              <w:rFonts w:asciiTheme="majorHAnsi" w:hAnsiTheme="majorHAnsi"/>
            </w:rPr>
            <w:t>POLICY: Legally Authorized Representatives, Children, and Guardians</w:t>
          </w:r>
          <w:r w:rsidRPr="009C4C20">
            <w:rPr>
              <w:rFonts w:asciiTheme="majorHAnsi" w:hAnsiTheme="majorHAnsi"/>
            </w:rPr>
            <w:fldChar w:fldCharType="end"/>
          </w:r>
        </w:p>
      </w:tc>
    </w:tr>
    <w:tr w:rsidR="009C27CF" w14:paraId="77C572FE" w14:textId="77777777" w:rsidTr="009C27CF">
      <w:trPr>
        <w:cantSplit/>
        <w:trHeight w:hRule="exact" w:val="216"/>
      </w:trPr>
      <w:tc>
        <w:tcPr>
          <w:tcW w:w="3485" w:type="dxa"/>
          <w:vMerge/>
          <w:tcBorders>
            <w:left w:val="nil"/>
            <w:bottom w:val="nil"/>
          </w:tcBorders>
          <w:shd w:val="clear" w:color="auto" w:fill="auto"/>
        </w:tcPr>
        <w:p w14:paraId="5370B63C" w14:textId="77777777" w:rsidR="009C27CF" w:rsidRDefault="009C27CF" w:rsidP="00024D53">
          <w:pPr>
            <w:pStyle w:val="SOPBasis"/>
          </w:pPr>
        </w:p>
      </w:tc>
      <w:tc>
        <w:tcPr>
          <w:tcW w:w="1523" w:type="dxa"/>
          <w:shd w:val="clear" w:color="auto" w:fill="D9D9D9" w:themeFill="background1" w:themeFillShade="D9"/>
          <w:vAlign w:val="center"/>
        </w:tcPr>
        <w:p w14:paraId="260C0BD1" w14:textId="77777777" w:rsidR="009C27CF" w:rsidRDefault="009C27CF" w:rsidP="00024D53">
          <w:pPr>
            <w:pStyle w:val="SOPTableHeader"/>
          </w:pPr>
          <w:r w:rsidRPr="001A5A2A">
            <w:t>Document No.:</w:t>
          </w:r>
        </w:p>
      </w:tc>
      <w:tc>
        <w:tcPr>
          <w:tcW w:w="1850" w:type="dxa"/>
          <w:shd w:val="clear" w:color="auto" w:fill="D9D9D9" w:themeFill="background1" w:themeFillShade="D9"/>
          <w:vAlign w:val="center"/>
        </w:tcPr>
        <w:p w14:paraId="372E199B" w14:textId="77777777" w:rsidR="009C27CF" w:rsidRDefault="009C27CF" w:rsidP="00024D53">
          <w:pPr>
            <w:pStyle w:val="SOPTableHeader"/>
          </w:pPr>
          <w:r>
            <w:t>Edition No.:</w:t>
          </w:r>
        </w:p>
      </w:tc>
      <w:tc>
        <w:tcPr>
          <w:tcW w:w="1440" w:type="dxa"/>
          <w:shd w:val="clear" w:color="auto" w:fill="D9D9D9" w:themeFill="background1" w:themeFillShade="D9"/>
          <w:vAlign w:val="center"/>
        </w:tcPr>
        <w:p w14:paraId="7E99307D" w14:textId="77777777" w:rsidR="009C27CF" w:rsidRDefault="009C27CF" w:rsidP="00024D53">
          <w:pPr>
            <w:pStyle w:val="SOPTableHeader"/>
          </w:pPr>
          <w:r w:rsidRPr="001A5A2A">
            <w:t>Effective Date:</w:t>
          </w:r>
        </w:p>
      </w:tc>
      <w:tc>
        <w:tcPr>
          <w:tcW w:w="1531" w:type="dxa"/>
          <w:shd w:val="clear" w:color="auto" w:fill="D9D9D9" w:themeFill="background1" w:themeFillShade="D9"/>
          <w:vAlign w:val="center"/>
        </w:tcPr>
        <w:p w14:paraId="55E61BCD" w14:textId="77777777" w:rsidR="009C27CF" w:rsidRPr="006D2E9A" w:rsidRDefault="009C27CF" w:rsidP="00024D53">
          <w:pPr>
            <w:pStyle w:val="SOPTableHeader"/>
          </w:pPr>
          <w:r>
            <w:t>Page:</w:t>
          </w:r>
        </w:p>
      </w:tc>
    </w:tr>
    <w:tr w:rsidR="009C27CF" w14:paraId="01B01658" w14:textId="77777777" w:rsidTr="009C27CF">
      <w:trPr>
        <w:cantSplit/>
        <w:trHeight w:hRule="exact" w:val="360"/>
      </w:trPr>
      <w:tc>
        <w:tcPr>
          <w:tcW w:w="3485" w:type="dxa"/>
          <w:vMerge/>
          <w:tcBorders>
            <w:left w:val="nil"/>
            <w:bottom w:val="nil"/>
          </w:tcBorders>
          <w:shd w:val="clear" w:color="auto" w:fill="auto"/>
        </w:tcPr>
        <w:p w14:paraId="6CD96D36" w14:textId="77777777" w:rsidR="009C27CF" w:rsidRDefault="009C27CF" w:rsidP="00024D53">
          <w:pPr>
            <w:pStyle w:val="SOPBasis"/>
          </w:pPr>
        </w:p>
      </w:tc>
      <w:tc>
        <w:tcPr>
          <w:tcW w:w="1523" w:type="dxa"/>
          <w:vAlign w:val="center"/>
        </w:tcPr>
        <w:p w14:paraId="6C3FA308" w14:textId="77777777" w:rsidR="009C27CF" w:rsidRPr="00332ADF" w:rsidRDefault="006B7C9F" w:rsidP="00024D53">
          <w:pPr>
            <w:pStyle w:val="SOPTableItemBold"/>
          </w:pPr>
          <w:r>
            <w:fldChar w:fldCharType="begin"/>
          </w:r>
          <w:r>
            <w:instrText xml:space="preserve"> SUBJECT   \* MERGEFORMAT </w:instrText>
          </w:r>
          <w:r>
            <w:fldChar w:fldCharType="separate"/>
          </w:r>
          <w:r w:rsidR="009C27CF">
            <w:t>HRP-021</w:t>
          </w:r>
          <w:r>
            <w:fldChar w:fldCharType="end"/>
          </w:r>
        </w:p>
      </w:tc>
      <w:tc>
        <w:tcPr>
          <w:tcW w:w="1850" w:type="dxa"/>
          <w:vAlign w:val="center"/>
        </w:tcPr>
        <w:p w14:paraId="605E51D5" w14:textId="3C0D84BF" w:rsidR="009C27CF" w:rsidRPr="00332ADF" w:rsidRDefault="009C27CF" w:rsidP="009C27CF">
          <w:pPr>
            <w:pStyle w:val="SOPTableItemBold"/>
            <w:jc w:val="left"/>
          </w:pPr>
          <w:r>
            <w:t>002 (22 OCT 15)</w:t>
          </w:r>
        </w:p>
      </w:tc>
      <w:tc>
        <w:tcPr>
          <w:tcW w:w="1440" w:type="dxa"/>
          <w:tcMar>
            <w:left w:w="0" w:type="dxa"/>
            <w:right w:w="0" w:type="dxa"/>
          </w:tcMar>
          <w:vAlign w:val="center"/>
        </w:tcPr>
        <w:p w14:paraId="1D762FD3" w14:textId="40DB3EEF" w:rsidR="009C27CF" w:rsidRPr="00332ADF" w:rsidRDefault="006B7C9F" w:rsidP="00024D53">
          <w:pPr>
            <w:pStyle w:val="SOPTableItemBold"/>
          </w:pPr>
          <w:r>
            <w:t xml:space="preserve">15 APR </w:t>
          </w:r>
          <w:bookmarkStart w:id="0" w:name="_GoBack"/>
          <w:bookmarkEnd w:id="0"/>
          <w:r w:rsidR="009C27CF">
            <w:t>15</w:t>
          </w:r>
        </w:p>
      </w:tc>
      <w:tc>
        <w:tcPr>
          <w:tcW w:w="1531" w:type="dxa"/>
          <w:vAlign w:val="center"/>
        </w:tcPr>
        <w:p w14:paraId="5A156427" w14:textId="77777777" w:rsidR="009C27CF" w:rsidRPr="00332ADF" w:rsidRDefault="009C27CF" w:rsidP="00024D53">
          <w:pPr>
            <w:pStyle w:val="SOPTableItemBold"/>
          </w:pPr>
          <w:r>
            <w:t xml:space="preserve">Page </w:t>
          </w:r>
          <w:r>
            <w:fldChar w:fldCharType="begin"/>
          </w:r>
          <w:r>
            <w:instrText xml:space="preserve"> PAGE  \* Arabic  \* MERGEFORMAT </w:instrText>
          </w:r>
          <w:r>
            <w:fldChar w:fldCharType="separate"/>
          </w:r>
          <w:r w:rsidR="006B7C9F">
            <w:t>1</w:t>
          </w:r>
          <w:r>
            <w:fldChar w:fldCharType="end"/>
          </w:r>
          <w:r>
            <w:t xml:space="preserve"> of </w:t>
          </w:r>
          <w:r w:rsidR="006B7C9F">
            <w:fldChar w:fldCharType="begin"/>
          </w:r>
          <w:r w:rsidR="006B7C9F">
            <w:instrText xml:space="preserve"> NUMPAGES  \* Arabic  \* MERGEFORMAT </w:instrText>
          </w:r>
          <w:r w:rsidR="006B7C9F">
            <w:fldChar w:fldCharType="separate"/>
          </w:r>
          <w:r w:rsidR="006B7C9F">
            <w:t>2</w:t>
          </w:r>
          <w:r w:rsidR="006B7C9F">
            <w:fldChar w:fldCharType="end"/>
          </w:r>
        </w:p>
      </w:tc>
    </w:tr>
  </w:tbl>
  <w:p w14:paraId="5B55F034" w14:textId="3AB73740" w:rsidR="009C27CF" w:rsidRPr="00956356" w:rsidRDefault="009C27CF" w:rsidP="00D24E51">
    <w:pPr>
      <w:pStyle w:val="Header"/>
      <w:rPr>
        <w:sz w:val="2"/>
        <w:szCs w:val="2"/>
      </w:rPr>
    </w:pPr>
    <w:r>
      <w:rPr>
        <w:sz w:val="2"/>
        <w:szCs w:val="2"/>
      </w:rPr>
      <w:tab/>
    </w:r>
  </w:p>
  <w:p w14:paraId="0AECEA9D" w14:textId="77777777" w:rsidR="009C27CF" w:rsidRPr="004379C4" w:rsidRDefault="009C27CF" w:rsidP="00D24E51">
    <w:pPr>
      <w:pStyle w:val="Header"/>
      <w:rPr>
        <w:sz w:val="2"/>
        <w:szCs w:val="2"/>
      </w:rPr>
    </w:pPr>
  </w:p>
  <w:p w14:paraId="3DF14CD9" w14:textId="77777777" w:rsidR="009C27CF" w:rsidRPr="00D24E51" w:rsidRDefault="009C27CF" w:rsidP="00D24E5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A90B9" w14:textId="77777777" w:rsidR="006B7C9F" w:rsidRDefault="006B7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936"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3"/>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2219B"/>
    <w:rsid w:val="00024D53"/>
    <w:rsid w:val="0003088F"/>
    <w:rsid w:val="00031750"/>
    <w:rsid w:val="000404B6"/>
    <w:rsid w:val="00061CCC"/>
    <w:rsid w:val="00064708"/>
    <w:rsid w:val="00070C18"/>
    <w:rsid w:val="00094322"/>
    <w:rsid w:val="000C26D3"/>
    <w:rsid w:val="000C3A4F"/>
    <w:rsid w:val="000E1AC8"/>
    <w:rsid w:val="001013FA"/>
    <w:rsid w:val="00152183"/>
    <w:rsid w:val="00152710"/>
    <w:rsid w:val="001563A9"/>
    <w:rsid w:val="00173CFA"/>
    <w:rsid w:val="00187013"/>
    <w:rsid w:val="001A5A2A"/>
    <w:rsid w:val="001B2264"/>
    <w:rsid w:val="001B7485"/>
    <w:rsid w:val="001C3FF9"/>
    <w:rsid w:val="001E09BF"/>
    <w:rsid w:val="001F04D4"/>
    <w:rsid w:val="001F1F1A"/>
    <w:rsid w:val="0020344B"/>
    <w:rsid w:val="00213610"/>
    <w:rsid w:val="0026551E"/>
    <w:rsid w:val="00270836"/>
    <w:rsid w:val="00282D03"/>
    <w:rsid w:val="00292BF0"/>
    <w:rsid w:val="002B70A7"/>
    <w:rsid w:val="002E318D"/>
    <w:rsid w:val="002F2773"/>
    <w:rsid w:val="003105FA"/>
    <w:rsid w:val="00332ADF"/>
    <w:rsid w:val="00354910"/>
    <w:rsid w:val="003941B2"/>
    <w:rsid w:val="003A7F1F"/>
    <w:rsid w:val="003B5992"/>
    <w:rsid w:val="003D226A"/>
    <w:rsid w:val="003F2201"/>
    <w:rsid w:val="00421377"/>
    <w:rsid w:val="00444875"/>
    <w:rsid w:val="004832A5"/>
    <w:rsid w:val="004A09DF"/>
    <w:rsid w:val="004B65CB"/>
    <w:rsid w:val="004E3793"/>
    <w:rsid w:val="004F4CE1"/>
    <w:rsid w:val="004F7D0C"/>
    <w:rsid w:val="00510920"/>
    <w:rsid w:val="00516C8A"/>
    <w:rsid w:val="005312F9"/>
    <w:rsid w:val="005506E3"/>
    <w:rsid w:val="00563DAB"/>
    <w:rsid w:val="00577BBA"/>
    <w:rsid w:val="00583786"/>
    <w:rsid w:val="005840DC"/>
    <w:rsid w:val="005B6E88"/>
    <w:rsid w:val="005D2DD6"/>
    <w:rsid w:val="005D6164"/>
    <w:rsid w:val="005E136C"/>
    <w:rsid w:val="00655A70"/>
    <w:rsid w:val="00661C12"/>
    <w:rsid w:val="006656DC"/>
    <w:rsid w:val="006675F0"/>
    <w:rsid w:val="00667E43"/>
    <w:rsid w:val="00695870"/>
    <w:rsid w:val="00695E9A"/>
    <w:rsid w:val="006B16A0"/>
    <w:rsid w:val="006B7C9F"/>
    <w:rsid w:val="006D21A8"/>
    <w:rsid w:val="006D2E9A"/>
    <w:rsid w:val="006D48D5"/>
    <w:rsid w:val="006F3554"/>
    <w:rsid w:val="00714ADC"/>
    <w:rsid w:val="007228F7"/>
    <w:rsid w:val="00726394"/>
    <w:rsid w:val="007471DF"/>
    <w:rsid w:val="007527B4"/>
    <w:rsid w:val="00757358"/>
    <w:rsid w:val="00774C40"/>
    <w:rsid w:val="00792A69"/>
    <w:rsid w:val="007A2CD8"/>
    <w:rsid w:val="007C2FC6"/>
    <w:rsid w:val="007D062D"/>
    <w:rsid w:val="007D6324"/>
    <w:rsid w:val="0080339C"/>
    <w:rsid w:val="008053FB"/>
    <w:rsid w:val="00867BF2"/>
    <w:rsid w:val="00873599"/>
    <w:rsid w:val="008742C6"/>
    <w:rsid w:val="008851BD"/>
    <w:rsid w:val="008A7023"/>
    <w:rsid w:val="008C420B"/>
    <w:rsid w:val="008D250E"/>
    <w:rsid w:val="008D37B9"/>
    <w:rsid w:val="008E06D2"/>
    <w:rsid w:val="008E356B"/>
    <w:rsid w:val="008E4350"/>
    <w:rsid w:val="008F71D0"/>
    <w:rsid w:val="00903D68"/>
    <w:rsid w:val="00907067"/>
    <w:rsid w:val="0092200F"/>
    <w:rsid w:val="0092507F"/>
    <w:rsid w:val="0093159B"/>
    <w:rsid w:val="00935262"/>
    <w:rsid w:val="00952DFB"/>
    <w:rsid w:val="00956356"/>
    <w:rsid w:val="0097421A"/>
    <w:rsid w:val="00981B37"/>
    <w:rsid w:val="009A0A2E"/>
    <w:rsid w:val="009C17B2"/>
    <w:rsid w:val="009C246E"/>
    <w:rsid w:val="009C27CF"/>
    <w:rsid w:val="009C2950"/>
    <w:rsid w:val="009C4C20"/>
    <w:rsid w:val="009D3DE8"/>
    <w:rsid w:val="009F7CEF"/>
    <w:rsid w:val="00A02EDD"/>
    <w:rsid w:val="00A06A4C"/>
    <w:rsid w:val="00A06EB8"/>
    <w:rsid w:val="00A27BE7"/>
    <w:rsid w:val="00A4717B"/>
    <w:rsid w:val="00A524C7"/>
    <w:rsid w:val="00A65BA6"/>
    <w:rsid w:val="00A7790B"/>
    <w:rsid w:val="00A82350"/>
    <w:rsid w:val="00AA1EBF"/>
    <w:rsid w:val="00AB0195"/>
    <w:rsid w:val="00AC6DFD"/>
    <w:rsid w:val="00AC721E"/>
    <w:rsid w:val="00AD66B1"/>
    <w:rsid w:val="00AF24CF"/>
    <w:rsid w:val="00B07776"/>
    <w:rsid w:val="00B23176"/>
    <w:rsid w:val="00B34E9E"/>
    <w:rsid w:val="00B42EC8"/>
    <w:rsid w:val="00B52C5B"/>
    <w:rsid w:val="00B63432"/>
    <w:rsid w:val="00B6764E"/>
    <w:rsid w:val="00B72D14"/>
    <w:rsid w:val="00B82628"/>
    <w:rsid w:val="00B91536"/>
    <w:rsid w:val="00B96227"/>
    <w:rsid w:val="00B96736"/>
    <w:rsid w:val="00BA7FBA"/>
    <w:rsid w:val="00BD62CE"/>
    <w:rsid w:val="00BE3293"/>
    <w:rsid w:val="00BF7355"/>
    <w:rsid w:val="00C164FC"/>
    <w:rsid w:val="00C2492E"/>
    <w:rsid w:val="00C33B73"/>
    <w:rsid w:val="00C36FC5"/>
    <w:rsid w:val="00C50D75"/>
    <w:rsid w:val="00C878AC"/>
    <w:rsid w:val="00C94AA8"/>
    <w:rsid w:val="00CA4946"/>
    <w:rsid w:val="00CB31B6"/>
    <w:rsid w:val="00CE2745"/>
    <w:rsid w:val="00CE6B09"/>
    <w:rsid w:val="00CE702A"/>
    <w:rsid w:val="00D00014"/>
    <w:rsid w:val="00D150DA"/>
    <w:rsid w:val="00D17D6D"/>
    <w:rsid w:val="00D24E51"/>
    <w:rsid w:val="00D25A90"/>
    <w:rsid w:val="00D37174"/>
    <w:rsid w:val="00D42118"/>
    <w:rsid w:val="00D514F0"/>
    <w:rsid w:val="00D55726"/>
    <w:rsid w:val="00D55BFC"/>
    <w:rsid w:val="00D565CD"/>
    <w:rsid w:val="00D71280"/>
    <w:rsid w:val="00D72294"/>
    <w:rsid w:val="00D7555B"/>
    <w:rsid w:val="00D83094"/>
    <w:rsid w:val="00D956A1"/>
    <w:rsid w:val="00DA20BA"/>
    <w:rsid w:val="00DD2A9E"/>
    <w:rsid w:val="00DD4EE3"/>
    <w:rsid w:val="00DF2C9C"/>
    <w:rsid w:val="00E00D6A"/>
    <w:rsid w:val="00E03F17"/>
    <w:rsid w:val="00E215F5"/>
    <w:rsid w:val="00E662CC"/>
    <w:rsid w:val="00E8719A"/>
    <w:rsid w:val="00E90BCA"/>
    <w:rsid w:val="00E95BBF"/>
    <w:rsid w:val="00EB2241"/>
    <w:rsid w:val="00EC4DFE"/>
    <w:rsid w:val="00EC541E"/>
    <w:rsid w:val="00ED375A"/>
    <w:rsid w:val="00ED47FC"/>
    <w:rsid w:val="00EE3E10"/>
    <w:rsid w:val="00EF11A0"/>
    <w:rsid w:val="00F300C7"/>
    <w:rsid w:val="00F53FC4"/>
    <w:rsid w:val="00F65A07"/>
    <w:rsid w:val="00FA4BC8"/>
    <w:rsid w:val="00FC67FF"/>
    <w:rsid w:val="00FD062D"/>
    <w:rsid w:val="00FE3398"/>
    <w:rsid w:val="00FE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95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7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FE3398"/>
    <w:rPr>
      <w:rFonts w:ascii="Arial" w:hAnsi="Arial" w:cs="Arial"/>
      <w:sz w:val="20"/>
      <w:szCs w:val="20"/>
    </w:rPr>
  </w:style>
  <w:style w:type="paragraph" w:customStyle="1" w:styleId="SOPProprietary">
    <w:name w:val="SOP Proprietary"/>
    <w:basedOn w:val="SOPBasis"/>
    <w:next w:val="SOPBasis"/>
    <w:qFormat/>
    <w:rsid w:val="00FE339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FE3398"/>
    <w:pPr>
      <w:tabs>
        <w:tab w:val="right" w:pos="2178"/>
      </w:tabs>
    </w:pPr>
    <w:rPr>
      <w:b/>
      <w:bCs/>
      <w:color w:val="000000"/>
      <w:sz w:val="16"/>
      <w:szCs w:val="16"/>
    </w:rPr>
  </w:style>
  <w:style w:type="paragraph" w:customStyle="1" w:styleId="SOPTableItem">
    <w:name w:val="SOP Table Item"/>
    <w:basedOn w:val="SOPBasis"/>
    <w:qFormat/>
    <w:rsid w:val="00FE339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FE3398"/>
    <w:rPr>
      <w:bCs w:val="0"/>
      <w:sz w:val="20"/>
      <w:szCs w:val="20"/>
    </w:rPr>
  </w:style>
  <w:style w:type="paragraph" w:customStyle="1" w:styleId="SOPTitle">
    <w:name w:val="SOP Title"/>
    <w:basedOn w:val="SOPBasis"/>
    <w:next w:val="SOPBasis"/>
    <w:qFormat/>
    <w:rsid w:val="00FE3398"/>
    <w:rPr>
      <w:b/>
      <w:bCs/>
      <w:sz w:val="28"/>
      <w:szCs w:val="28"/>
    </w:rPr>
  </w:style>
  <w:style w:type="paragraph" w:styleId="ListParagraph">
    <w:name w:val="List Paragraph"/>
    <w:basedOn w:val="Normal"/>
    <w:uiPriority w:val="34"/>
    <w:qFormat/>
    <w:rsid w:val="00FE3398"/>
    <w:pPr>
      <w:ind w:left="720"/>
      <w:contextualSpacing/>
    </w:pPr>
  </w:style>
  <w:style w:type="paragraph" w:customStyle="1" w:styleId="SOPLevel1">
    <w:name w:val="SOP Level 1"/>
    <w:basedOn w:val="SOPBasis"/>
    <w:qFormat/>
    <w:rsid w:val="00FE3398"/>
    <w:pPr>
      <w:numPr>
        <w:numId w:val="10"/>
      </w:numPr>
      <w:spacing w:before="120" w:after="120"/>
    </w:pPr>
    <w:rPr>
      <w:b/>
      <w:sz w:val="28"/>
    </w:rPr>
  </w:style>
  <w:style w:type="paragraph" w:customStyle="1" w:styleId="SOPLevel2">
    <w:name w:val="SOP Level 2"/>
    <w:basedOn w:val="SOPBasis"/>
    <w:qFormat/>
    <w:rsid w:val="00FE3398"/>
    <w:pPr>
      <w:numPr>
        <w:ilvl w:val="1"/>
        <w:numId w:val="10"/>
      </w:numPr>
      <w:spacing w:before="120" w:after="120"/>
      <w:ind w:left="1152"/>
      <w:contextualSpacing/>
    </w:pPr>
  </w:style>
  <w:style w:type="paragraph" w:customStyle="1" w:styleId="SOPLevel3">
    <w:name w:val="SOP Level 3"/>
    <w:basedOn w:val="SOPBasis"/>
    <w:qFormat/>
    <w:rsid w:val="00FE3398"/>
    <w:pPr>
      <w:numPr>
        <w:ilvl w:val="2"/>
        <w:numId w:val="10"/>
      </w:numPr>
      <w:spacing w:before="120" w:after="120"/>
      <w:contextualSpacing/>
    </w:pPr>
  </w:style>
  <w:style w:type="paragraph" w:customStyle="1" w:styleId="SOPLevel4">
    <w:name w:val="SOP Level 4"/>
    <w:basedOn w:val="SOPBasis"/>
    <w:qFormat/>
    <w:rsid w:val="00FE3398"/>
    <w:pPr>
      <w:numPr>
        <w:ilvl w:val="3"/>
        <w:numId w:val="10"/>
      </w:numPr>
      <w:spacing w:before="120" w:after="120"/>
      <w:contextualSpacing/>
    </w:pPr>
  </w:style>
  <w:style w:type="paragraph" w:customStyle="1" w:styleId="SOPLevel5">
    <w:name w:val="SOP Level 5"/>
    <w:basedOn w:val="SOPBasis"/>
    <w:qFormat/>
    <w:rsid w:val="00FE3398"/>
    <w:pPr>
      <w:numPr>
        <w:ilvl w:val="4"/>
        <w:numId w:val="10"/>
      </w:numPr>
      <w:spacing w:before="120" w:after="120"/>
      <w:contextualSpacing/>
    </w:pPr>
  </w:style>
  <w:style w:type="paragraph" w:customStyle="1" w:styleId="SOPLevel6">
    <w:name w:val="SOP Level 6"/>
    <w:basedOn w:val="SOPBasis"/>
    <w:qFormat/>
    <w:rsid w:val="00FE3398"/>
    <w:pPr>
      <w:numPr>
        <w:ilvl w:val="5"/>
        <w:numId w:val="10"/>
      </w:numPr>
      <w:spacing w:before="120" w:after="120"/>
      <w:contextualSpacing/>
    </w:pPr>
  </w:style>
  <w:style w:type="paragraph" w:customStyle="1" w:styleId="SOPFooter">
    <w:name w:val="SOP Footer"/>
    <w:basedOn w:val="SOPBasis"/>
    <w:autoRedefine/>
    <w:qFormat/>
    <w:rsid w:val="00FE3398"/>
    <w:pPr>
      <w:spacing w:before="120"/>
      <w:jc w:val="center"/>
    </w:pPr>
    <w:rPr>
      <w:sz w:val="16"/>
      <w:szCs w:val="16"/>
    </w:rPr>
  </w:style>
  <w:style w:type="character" w:customStyle="1" w:styleId="SOPDefault">
    <w:name w:val="SOP Default"/>
    <w:basedOn w:val="DefaultParagraphFont"/>
    <w:uiPriority w:val="1"/>
    <w:qFormat/>
    <w:rsid w:val="00FE3398"/>
  </w:style>
  <w:style w:type="character" w:customStyle="1" w:styleId="SOPDefinition">
    <w:name w:val="SOP Definition"/>
    <w:basedOn w:val="SOPDefault"/>
    <w:uiPriority w:val="1"/>
    <w:qFormat/>
    <w:rsid w:val="00FE3398"/>
    <w:rPr>
      <w:bdr w:val="single" w:sz="4" w:space="0" w:color="auto"/>
    </w:rPr>
  </w:style>
  <w:style w:type="paragraph" w:styleId="FootnoteText">
    <w:name w:val="footnote text"/>
    <w:basedOn w:val="Normal"/>
    <w:link w:val="FootnoteTextChar"/>
    <w:uiPriority w:val="99"/>
    <w:semiHidden/>
    <w:unhideWhenUsed/>
    <w:rsid w:val="003D226A"/>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numbering" w:styleId="111111">
    <w:name w:val="Outline List 2"/>
    <w:basedOn w:val="NoList"/>
    <w:semiHidden/>
    <w:rsid w:val="0092507F"/>
    <w:pPr>
      <w:numPr>
        <w:numId w:val="4"/>
      </w:numPr>
    </w:pPr>
  </w:style>
  <w:style w:type="paragraph" w:styleId="BodyTextIndent3">
    <w:name w:val="Body Text Indent 3"/>
    <w:basedOn w:val="Normal"/>
    <w:link w:val="BodyTextIndent3Char"/>
    <w:semiHidden/>
    <w:rsid w:val="0092507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92507F"/>
    <w:rPr>
      <w:rFonts w:ascii="Times New Roman" w:eastAsia="Times New Roman" w:hAnsi="Times New Roman" w:cs="Times New Roman"/>
      <w:sz w:val="16"/>
      <w:szCs w:val="16"/>
    </w:rPr>
  </w:style>
  <w:style w:type="paragraph" w:customStyle="1" w:styleId="Image">
    <w:name w:val="Image"/>
    <w:basedOn w:val="Normal"/>
    <w:next w:val="Normal"/>
    <w:qFormat/>
    <w:rsid w:val="00FE3398"/>
    <w:pPr>
      <w:jc w:val="center"/>
    </w:pPr>
    <w:rPr>
      <w:color w:val="FFFFFF" w:themeColor="background1"/>
    </w:rPr>
  </w:style>
  <w:style w:type="character" w:styleId="Hyperlink">
    <w:name w:val="Hyperlink"/>
    <w:basedOn w:val="DefaultParagraphFont"/>
    <w:uiPriority w:val="99"/>
    <w:semiHidden/>
    <w:unhideWhenUsed/>
    <w:rsid w:val="00421377"/>
    <w:rPr>
      <w:color w:val="0000FF" w:themeColor="hyperlink"/>
      <w:u w:val="single"/>
    </w:rPr>
  </w:style>
  <w:style w:type="paragraph" w:styleId="NormalWeb">
    <w:name w:val="Normal (Web)"/>
    <w:basedOn w:val="Normal"/>
    <w:uiPriority w:val="99"/>
    <w:unhideWhenUsed/>
    <w:rsid w:val="00655A70"/>
    <w:pPr>
      <w:spacing w:before="100" w:beforeAutospacing="1" w:after="100" w:afterAutospacing="1"/>
    </w:pPr>
  </w:style>
  <w:style w:type="character" w:styleId="CommentReference">
    <w:name w:val="annotation reference"/>
    <w:basedOn w:val="DefaultParagraphFont"/>
    <w:uiPriority w:val="99"/>
    <w:semiHidden/>
    <w:unhideWhenUsed/>
    <w:rsid w:val="00655A70"/>
    <w:rPr>
      <w:sz w:val="16"/>
      <w:szCs w:val="16"/>
    </w:rPr>
  </w:style>
  <w:style w:type="paragraph" w:styleId="CommentText">
    <w:name w:val="annotation text"/>
    <w:basedOn w:val="Normal"/>
    <w:link w:val="CommentTextChar"/>
    <w:uiPriority w:val="99"/>
    <w:semiHidden/>
    <w:unhideWhenUsed/>
    <w:rsid w:val="00655A70"/>
    <w:rPr>
      <w:sz w:val="20"/>
      <w:szCs w:val="20"/>
    </w:rPr>
  </w:style>
  <w:style w:type="character" w:customStyle="1" w:styleId="CommentTextChar">
    <w:name w:val="Comment Text Char"/>
    <w:basedOn w:val="DefaultParagraphFont"/>
    <w:link w:val="CommentText"/>
    <w:uiPriority w:val="99"/>
    <w:semiHidden/>
    <w:rsid w:val="00655A7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A70"/>
    <w:rPr>
      <w:b/>
      <w:bCs/>
    </w:rPr>
  </w:style>
  <w:style w:type="character" w:customStyle="1" w:styleId="CommentSubjectChar">
    <w:name w:val="Comment Subject Char"/>
    <w:basedOn w:val="CommentTextChar"/>
    <w:link w:val="CommentSubject"/>
    <w:uiPriority w:val="99"/>
    <w:semiHidden/>
    <w:rsid w:val="00655A70"/>
    <w:rPr>
      <w:rFonts w:ascii="Times New Roman" w:eastAsia="Calibri" w:hAnsi="Times New Roman" w:cs="Times New Roman"/>
      <w:b/>
      <w:bCs/>
      <w:sz w:val="20"/>
      <w:szCs w:val="20"/>
    </w:rPr>
  </w:style>
  <w:style w:type="paragraph" w:customStyle="1" w:styleId="Default">
    <w:name w:val="Default"/>
    <w:rsid w:val="004832A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7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FE3398"/>
    <w:rPr>
      <w:rFonts w:ascii="Arial" w:hAnsi="Arial" w:cs="Arial"/>
      <w:sz w:val="20"/>
      <w:szCs w:val="20"/>
    </w:rPr>
  </w:style>
  <w:style w:type="paragraph" w:customStyle="1" w:styleId="SOPProprietary">
    <w:name w:val="SOP Proprietary"/>
    <w:basedOn w:val="SOPBasis"/>
    <w:next w:val="SOPBasis"/>
    <w:qFormat/>
    <w:rsid w:val="00FE339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FE3398"/>
    <w:pPr>
      <w:tabs>
        <w:tab w:val="right" w:pos="2178"/>
      </w:tabs>
    </w:pPr>
    <w:rPr>
      <w:b/>
      <w:bCs/>
      <w:color w:val="000000"/>
      <w:sz w:val="16"/>
      <w:szCs w:val="16"/>
    </w:rPr>
  </w:style>
  <w:style w:type="paragraph" w:customStyle="1" w:styleId="SOPTableItem">
    <w:name w:val="SOP Table Item"/>
    <w:basedOn w:val="SOPBasis"/>
    <w:qFormat/>
    <w:rsid w:val="00FE339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FE3398"/>
    <w:rPr>
      <w:bCs w:val="0"/>
      <w:sz w:val="20"/>
      <w:szCs w:val="20"/>
    </w:rPr>
  </w:style>
  <w:style w:type="paragraph" w:customStyle="1" w:styleId="SOPTitle">
    <w:name w:val="SOP Title"/>
    <w:basedOn w:val="SOPBasis"/>
    <w:next w:val="SOPBasis"/>
    <w:qFormat/>
    <w:rsid w:val="00FE3398"/>
    <w:rPr>
      <w:b/>
      <w:bCs/>
      <w:sz w:val="28"/>
      <w:szCs w:val="28"/>
    </w:rPr>
  </w:style>
  <w:style w:type="paragraph" w:styleId="ListParagraph">
    <w:name w:val="List Paragraph"/>
    <w:basedOn w:val="Normal"/>
    <w:uiPriority w:val="34"/>
    <w:qFormat/>
    <w:rsid w:val="00FE3398"/>
    <w:pPr>
      <w:ind w:left="720"/>
      <w:contextualSpacing/>
    </w:pPr>
  </w:style>
  <w:style w:type="paragraph" w:customStyle="1" w:styleId="SOPLevel1">
    <w:name w:val="SOP Level 1"/>
    <w:basedOn w:val="SOPBasis"/>
    <w:qFormat/>
    <w:rsid w:val="00FE3398"/>
    <w:pPr>
      <w:numPr>
        <w:numId w:val="10"/>
      </w:numPr>
      <w:spacing w:before="120" w:after="120"/>
    </w:pPr>
    <w:rPr>
      <w:b/>
      <w:sz w:val="28"/>
    </w:rPr>
  </w:style>
  <w:style w:type="paragraph" w:customStyle="1" w:styleId="SOPLevel2">
    <w:name w:val="SOP Level 2"/>
    <w:basedOn w:val="SOPBasis"/>
    <w:qFormat/>
    <w:rsid w:val="00FE3398"/>
    <w:pPr>
      <w:numPr>
        <w:ilvl w:val="1"/>
        <w:numId w:val="10"/>
      </w:numPr>
      <w:spacing w:before="120" w:after="120"/>
      <w:ind w:left="1152"/>
      <w:contextualSpacing/>
    </w:pPr>
  </w:style>
  <w:style w:type="paragraph" w:customStyle="1" w:styleId="SOPLevel3">
    <w:name w:val="SOP Level 3"/>
    <w:basedOn w:val="SOPBasis"/>
    <w:qFormat/>
    <w:rsid w:val="00FE3398"/>
    <w:pPr>
      <w:numPr>
        <w:ilvl w:val="2"/>
        <w:numId w:val="10"/>
      </w:numPr>
      <w:spacing w:before="120" w:after="120"/>
      <w:contextualSpacing/>
    </w:pPr>
  </w:style>
  <w:style w:type="paragraph" w:customStyle="1" w:styleId="SOPLevel4">
    <w:name w:val="SOP Level 4"/>
    <w:basedOn w:val="SOPBasis"/>
    <w:qFormat/>
    <w:rsid w:val="00FE3398"/>
    <w:pPr>
      <w:numPr>
        <w:ilvl w:val="3"/>
        <w:numId w:val="10"/>
      </w:numPr>
      <w:spacing w:before="120" w:after="120"/>
      <w:contextualSpacing/>
    </w:pPr>
  </w:style>
  <w:style w:type="paragraph" w:customStyle="1" w:styleId="SOPLevel5">
    <w:name w:val="SOP Level 5"/>
    <w:basedOn w:val="SOPBasis"/>
    <w:qFormat/>
    <w:rsid w:val="00FE3398"/>
    <w:pPr>
      <w:numPr>
        <w:ilvl w:val="4"/>
        <w:numId w:val="10"/>
      </w:numPr>
      <w:spacing w:before="120" w:after="120"/>
      <w:contextualSpacing/>
    </w:pPr>
  </w:style>
  <w:style w:type="paragraph" w:customStyle="1" w:styleId="SOPLevel6">
    <w:name w:val="SOP Level 6"/>
    <w:basedOn w:val="SOPBasis"/>
    <w:qFormat/>
    <w:rsid w:val="00FE3398"/>
    <w:pPr>
      <w:numPr>
        <w:ilvl w:val="5"/>
        <w:numId w:val="10"/>
      </w:numPr>
      <w:spacing w:before="120" w:after="120"/>
      <w:contextualSpacing/>
    </w:pPr>
  </w:style>
  <w:style w:type="paragraph" w:customStyle="1" w:styleId="SOPFooter">
    <w:name w:val="SOP Footer"/>
    <w:basedOn w:val="SOPBasis"/>
    <w:autoRedefine/>
    <w:qFormat/>
    <w:rsid w:val="00FE3398"/>
    <w:pPr>
      <w:spacing w:before="120"/>
      <w:jc w:val="center"/>
    </w:pPr>
    <w:rPr>
      <w:sz w:val="16"/>
      <w:szCs w:val="16"/>
    </w:rPr>
  </w:style>
  <w:style w:type="character" w:customStyle="1" w:styleId="SOPDefault">
    <w:name w:val="SOP Default"/>
    <w:basedOn w:val="DefaultParagraphFont"/>
    <w:uiPriority w:val="1"/>
    <w:qFormat/>
    <w:rsid w:val="00FE3398"/>
  </w:style>
  <w:style w:type="character" w:customStyle="1" w:styleId="SOPDefinition">
    <w:name w:val="SOP Definition"/>
    <w:basedOn w:val="SOPDefault"/>
    <w:uiPriority w:val="1"/>
    <w:qFormat/>
    <w:rsid w:val="00FE3398"/>
    <w:rPr>
      <w:bdr w:val="single" w:sz="4" w:space="0" w:color="auto"/>
    </w:rPr>
  </w:style>
  <w:style w:type="paragraph" w:styleId="FootnoteText">
    <w:name w:val="footnote text"/>
    <w:basedOn w:val="Normal"/>
    <w:link w:val="FootnoteTextChar"/>
    <w:uiPriority w:val="99"/>
    <w:semiHidden/>
    <w:unhideWhenUsed/>
    <w:rsid w:val="003D226A"/>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numbering" w:styleId="111111">
    <w:name w:val="Outline List 2"/>
    <w:basedOn w:val="NoList"/>
    <w:semiHidden/>
    <w:rsid w:val="0092507F"/>
    <w:pPr>
      <w:numPr>
        <w:numId w:val="4"/>
      </w:numPr>
    </w:pPr>
  </w:style>
  <w:style w:type="paragraph" w:styleId="BodyTextIndent3">
    <w:name w:val="Body Text Indent 3"/>
    <w:basedOn w:val="Normal"/>
    <w:link w:val="BodyTextIndent3Char"/>
    <w:semiHidden/>
    <w:rsid w:val="0092507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92507F"/>
    <w:rPr>
      <w:rFonts w:ascii="Times New Roman" w:eastAsia="Times New Roman" w:hAnsi="Times New Roman" w:cs="Times New Roman"/>
      <w:sz w:val="16"/>
      <w:szCs w:val="16"/>
    </w:rPr>
  </w:style>
  <w:style w:type="paragraph" w:customStyle="1" w:styleId="Image">
    <w:name w:val="Image"/>
    <w:basedOn w:val="Normal"/>
    <w:next w:val="Normal"/>
    <w:qFormat/>
    <w:rsid w:val="00FE3398"/>
    <w:pPr>
      <w:jc w:val="center"/>
    </w:pPr>
    <w:rPr>
      <w:color w:val="FFFFFF" w:themeColor="background1"/>
    </w:rPr>
  </w:style>
  <w:style w:type="character" w:styleId="Hyperlink">
    <w:name w:val="Hyperlink"/>
    <w:basedOn w:val="DefaultParagraphFont"/>
    <w:uiPriority w:val="99"/>
    <w:semiHidden/>
    <w:unhideWhenUsed/>
    <w:rsid w:val="00421377"/>
    <w:rPr>
      <w:color w:val="0000FF" w:themeColor="hyperlink"/>
      <w:u w:val="single"/>
    </w:rPr>
  </w:style>
  <w:style w:type="paragraph" w:styleId="NormalWeb">
    <w:name w:val="Normal (Web)"/>
    <w:basedOn w:val="Normal"/>
    <w:uiPriority w:val="99"/>
    <w:unhideWhenUsed/>
    <w:rsid w:val="00655A70"/>
    <w:pPr>
      <w:spacing w:before="100" w:beforeAutospacing="1" w:after="100" w:afterAutospacing="1"/>
    </w:pPr>
  </w:style>
  <w:style w:type="character" w:styleId="CommentReference">
    <w:name w:val="annotation reference"/>
    <w:basedOn w:val="DefaultParagraphFont"/>
    <w:uiPriority w:val="99"/>
    <w:semiHidden/>
    <w:unhideWhenUsed/>
    <w:rsid w:val="00655A70"/>
    <w:rPr>
      <w:sz w:val="16"/>
      <w:szCs w:val="16"/>
    </w:rPr>
  </w:style>
  <w:style w:type="paragraph" w:styleId="CommentText">
    <w:name w:val="annotation text"/>
    <w:basedOn w:val="Normal"/>
    <w:link w:val="CommentTextChar"/>
    <w:uiPriority w:val="99"/>
    <w:semiHidden/>
    <w:unhideWhenUsed/>
    <w:rsid w:val="00655A70"/>
    <w:rPr>
      <w:sz w:val="20"/>
      <w:szCs w:val="20"/>
    </w:rPr>
  </w:style>
  <w:style w:type="character" w:customStyle="1" w:styleId="CommentTextChar">
    <w:name w:val="Comment Text Char"/>
    <w:basedOn w:val="DefaultParagraphFont"/>
    <w:link w:val="CommentText"/>
    <w:uiPriority w:val="99"/>
    <w:semiHidden/>
    <w:rsid w:val="00655A7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A70"/>
    <w:rPr>
      <w:b/>
      <w:bCs/>
    </w:rPr>
  </w:style>
  <w:style w:type="character" w:customStyle="1" w:styleId="CommentSubjectChar">
    <w:name w:val="Comment Subject Char"/>
    <w:basedOn w:val="CommentTextChar"/>
    <w:link w:val="CommentSubject"/>
    <w:uiPriority w:val="99"/>
    <w:semiHidden/>
    <w:rsid w:val="00655A70"/>
    <w:rPr>
      <w:rFonts w:ascii="Times New Roman" w:eastAsia="Calibri" w:hAnsi="Times New Roman" w:cs="Times New Roman"/>
      <w:b/>
      <w:bCs/>
      <w:sz w:val="20"/>
      <w:szCs w:val="20"/>
    </w:rPr>
  </w:style>
  <w:style w:type="paragraph" w:customStyle="1" w:styleId="Default">
    <w:name w:val="Default"/>
    <w:rsid w:val="004832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8686">
      <w:bodyDiv w:val="1"/>
      <w:marLeft w:val="0"/>
      <w:marRight w:val="0"/>
      <w:marTop w:val="0"/>
      <w:marBottom w:val="0"/>
      <w:divBdr>
        <w:top w:val="none" w:sz="0" w:space="0" w:color="auto"/>
        <w:left w:val="none" w:sz="0" w:space="0" w:color="auto"/>
        <w:bottom w:val="none" w:sz="0" w:space="0" w:color="auto"/>
        <w:right w:val="none" w:sz="0" w:space="0" w:color="auto"/>
      </w:divBdr>
    </w:div>
    <w:div w:id="17570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Needs a wcg version</Comments>
    <WIRB xmlns="9f506b33-51d1-4e1b-9d93-9b1c88fdb660">false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C447B-34ED-4516-B985-3F8C8D22D922}">
  <ds:schemaRefs>
    <ds:schemaRef ds:uri="http://schemas.microsoft.com/sharepoint/v3/contenttype/forms"/>
  </ds:schemaRefs>
</ds:datastoreItem>
</file>

<file path=customXml/itemProps2.xml><?xml version="1.0" encoding="utf-8"?>
<ds:datastoreItem xmlns:ds="http://schemas.openxmlformats.org/officeDocument/2006/customXml" ds:itemID="{1E8037EA-C6B5-4B87-B69E-AB427445B773}">
  <ds:schemaRefs>
    <ds:schemaRef ds:uri="http://purl.org/dc/terms/"/>
    <ds:schemaRef ds:uri="http://www.w3.org/XML/1998/namespace"/>
    <ds:schemaRef ds:uri="9f506b33-51d1-4e1b-9d93-9b1c88fdb660"/>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B830F8C-C11A-43EC-9699-C82D7E957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BC4AF2-6F5E-4BD4-9036-993504EF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2267</Characters>
  <Application>Microsoft Office Word</Application>
  <DocSecurity>0</DocSecurity>
  <Lines>45</Lines>
  <Paragraphs>25</Paragraphs>
  <ScaleCrop>false</ScaleCrop>
  <HeadingPairs>
    <vt:vector size="2" baseType="variant">
      <vt:variant>
        <vt:lpstr>Title</vt:lpstr>
      </vt:variant>
      <vt:variant>
        <vt:i4>1</vt:i4>
      </vt:variant>
    </vt:vector>
  </HeadingPairs>
  <TitlesOfParts>
    <vt:vector size="1" baseType="lpstr">
      <vt:lpstr>POLICY: Legally Authorized Representatives Children and Guardians</vt:lpstr>
    </vt:vector>
  </TitlesOfParts>
  <Company>Copyright © 2013 WIRB-Copernicus Group. All rights reserved.</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Legally Authorized Representatives Children and Guardians</dc:title>
  <dc:subject>HRP-021</dc:subject>
  <dc:creator>Jeffrey A. Cooper, MD, MMM</dc:creator>
  <dc:description>31 Mar 2014</dc:description>
  <cp:lastModifiedBy>Carley Emerson</cp:lastModifiedBy>
  <cp:revision>3</cp:revision>
  <cp:lastPrinted>2015-06-30T15:21:00Z</cp:lastPrinted>
  <dcterms:created xsi:type="dcterms:W3CDTF">2016-03-17T01:11:00Z</dcterms:created>
  <dcterms:modified xsi:type="dcterms:W3CDTF">2016-06-07T13:19:00Z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2600</vt:r8>
  </property>
  <property fmtid="{D5CDD505-2E9C-101B-9397-08002B2CF9AE}" pid="3" name="ContentTypeId">
    <vt:lpwstr>0x010100781A7A403E41FC4C8423951C142D2F6D</vt:lpwstr>
  </property>
</Properties>
</file>